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left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30.0" w:type="dxa"/>
        <w:jc w:val="left"/>
        <w:tblInd w:w="1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55"/>
        <w:gridCol w:w="6375"/>
        <w:tblGridChange w:id="0">
          <w:tblGrid>
            <w:gridCol w:w="2955"/>
            <w:gridCol w:w="6375"/>
          </w:tblGrid>
        </w:tblGridChange>
      </w:tblGrid>
      <w:tr>
        <w:trPr>
          <w:cantSplit w:val="0"/>
          <w:tblHeader w:val="0"/>
        </w:trPr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02">
            <w:pPr>
              <w:spacing w:line="3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A</w:t>
            </w:r>
          </w:p>
        </w:tc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Aktualizovaný počet Základných a Záložných  vozidiel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Počet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Základných a Záložných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 vozidiel schválený Objednávateľom alebo určený Odborným expertom.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spacing w:line="320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Autobusová linka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Dopravné spojenie určené východiskovou zastávkou a cieľovou zastávkou, prípadne s najdôležitejšími nácestnými zastávkami.</w:t>
            </w:r>
          </w:p>
        </w:tc>
      </w:tr>
      <w:tr>
        <w:trPr>
          <w:cantSplit w:val="0"/>
          <w:tblHeader w:val="0"/>
        </w:trPr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08">
            <w:pPr>
              <w:spacing w:line="3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</w:t>
            </w:r>
          </w:p>
        </w:tc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line="320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Cestovný poriadok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left"/>
              <w:rPr>
                <w:rFonts w:ascii="Calibri" w:cs="Calibri" w:eastAsia="Calibri" w:hAnsi="Calibri"/>
                <w:sz w:val="22"/>
                <w:szCs w:val="22"/>
                <w:highlight w:val="green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Dokument stanovujúci časové údaje pre jazdu na trase dopravnej cesty pre všetky spoje linky.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0C">
            <w:pPr>
              <w:spacing w:line="3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Dopravný región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územie vymedzené Autobusovými linkami uvedenými v Prílohe č. 3 Zmluvy v znení prípadných neskorších zmien Autobusových liniek v dôsledku zmeny rozsahu Služby alebo aktualizácie Cestovných poriadkov.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line="320" w:lineRule="auto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Dopravný správny orgán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vecne a miestne príslušný vyšší územný celok podľa zákona o č. 56/2012 Z. z.  cestnej doprave v znení neskorších predpisov. </w:t>
            </w:r>
          </w:p>
        </w:tc>
      </w:tr>
      <w:tr>
        <w:trPr>
          <w:cantSplit w:val="0"/>
          <w:tblHeader w:val="0"/>
        </w:trPr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12">
            <w:pPr>
              <w:spacing w:line="3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</w:t>
            </w:r>
          </w:p>
        </w:tc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IDS ŽSK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Style w:val="Heading2"/>
              <w:spacing w:after="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integrovaný dopravný systém na území Žilinského kraja a priľahlých záujmových regiónov.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Iné výnosy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Style w:val="Heading2"/>
              <w:spacing w:after="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inými výnosmi Dopravcu vytvorenými pri poskytovaní Služby sa na účely výpočtu Doplatku rozumejú: príspevky od miest, obcí, zamestnávateľov a iných sponzorov na poskytovanie Služby, výnosy z prenájmu majetku, ktoré je evidovaný na poskytovanie Služby, výnosy z predaja cestovných poriadkov, premlčané záväzky zo Služby, zľavy, bonusy, rabaty, skontá okrem zliav pri predaji dopravných kariet a akcií dohodnutých s Objednávateľom, iné príjmy a výnosy z poskytovania Služby,  provízia (odmena) dopravcu v rámci IDS ŽSK za predaj cestovných lístkov.   Za Iné výnosy sa nepovažujú Mesačné zálohy, prípadne Mimoriadne zálohy poskytnuté Objednávateľom.   </w:t>
            </w:r>
          </w:p>
        </w:tc>
      </w:tr>
      <w:tr>
        <w:trPr>
          <w:cantSplit w:val="0"/>
          <w:tblHeader w:val="0"/>
        </w:trPr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18">
            <w:pPr>
              <w:spacing w:line="3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K</w:t>
            </w:r>
          </w:p>
        </w:tc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Kalendárny rok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obdobie od 1.1. do 31. 12.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Celkové kilometre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Súčet tarifných, obehových a technologických kilometrov.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Tarifné kilometre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 tarifné kilometre sa považuje vzdialenosť, ktorú vozidlo prejde z východiskovej zástavky do konečnej zastávky na Spojoch  uvedených  v Cestovných  poriadkoch.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Obehové kilometre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 obehové kilometre sa považuje vzdialenosť, ktorú vozidlo prejde z dôvodu nevyhnutného presunu z konečnej zastávky jedného spoja na východiskovú zastávku druhého spoja počas dňa v súlade s denným Obehom vozidla.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Technologické kilometre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 technologické kilometre sa považuje ostatné vzdialenosti nezahrnuté v tarifných a v obehových kilometroch ako sú prístavné, odstavné kilometre a servisné kilometre.</w:t>
            </w:r>
          </w:p>
        </w:tc>
      </w:tr>
      <w:tr>
        <w:trPr>
          <w:cantSplit w:val="0"/>
          <w:tblHeader w:val="0"/>
        </w:trPr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24">
            <w:pPr>
              <w:spacing w:line="32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N</w:t>
            </w:r>
          </w:p>
        </w:tc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Nové vozidlá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pStyle w:val="Heading2"/>
              <w:ind w:left="0" w:firstLine="0"/>
              <w:rPr>
                <w:vertAlign w:val="subscript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sz w:val="36"/>
                <w:szCs w:val="36"/>
                <w:vertAlign w:val="subscript"/>
                <w:rtl w:val="0"/>
              </w:rPr>
              <w:t xml:space="preserve">Vozidlá ktorých mesiac prvej registrácie je 3 a menej mesiacov pred mesiacom začatia poskytovania služieb vo verejnom záujme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28">
            <w:pPr>
              <w:spacing w:line="32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O</w:t>
            </w:r>
          </w:p>
        </w:tc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Obchádzka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sz w:val="22"/>
                <w:szCs w:val="22"/>
                <w:rtl w:val="0"/>
              </w:rPr>
              <w:t xml:space="preserve">Zmena/úprava trasy dopravného spojenia (odchýlenie sa dopravného spojenia od trasy v zmysle CP)  z dôvodu vyššej moci (napr. dopravnej nehody, či živelnej pohromy); napríklad cestná komunikácia je neprejazdná, sú vykonávané opravárenské a údržbové práce na cestnej komunikácii a podobne.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Organizátor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Integrovaná doprava Žilinského kraja, s.r.o. so sídlom Pri Rajčianke 2900/43, 010 01 Žilina, IČO: 51 110 369, ktorá bola založená Žilinským samosprávnym krajom a Mestom Žilina za účelom vybudovania a prevádzky integrovaného dopravného systému na území Žilinského kraja a priľahlých záujmových regiónov.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Obehy vozidiel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Priradenie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 vozidiel Dopravcu na jednotlivé Spoje podľa aktuálne platných Cestovných poriadkov s rozdelením na Veľké autobusy, Malé autobusy, Nízkopodlažné autobusy, Autobusy s klimatizáciou, Autobusy s Wifi a Cyklobusy.</w:t>
            </w:r>
          </w:p>
        </w:tc>
      </w:tr>
      <w:tr>
        <w:trPr>
          <w:cantSplit w:val="0"/>
          <w:tblHeader w:val="0"/>
        </w:trPr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30">
            <w:pPr>
              <w:spacing w:line="3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</w:t>
            </w:r>
          </w:p>
        </w:tc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trike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Ponuka dopravcu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Ponuka Dopravcu predložená v procese verejného obstarávania, ktorá tvorí Prílohu č. 2 Zmluvy. 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pStyle w:val="Heading2"/>
              <w:ind w:left="-111" w:firstLine="0"/>
              <w:rPr>
                <w:rFonts w:ascii="Calibri" w:cs="Calibri" w:eastAsia="Calibri" w:hAnsi="Calibri"/>
                <w:sz w:val="36"/>
                <w:szCs w:val="36"/>
                <w:vertAlign w:val="sub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Posilový spoj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pStyle w:val="Heading2"/>
              <w:ind w:left="0" w:firstLine="0"/>
              <w:rPr>
                <w:rFonts w:ascii="Calibri" w:cs="Calibri" w:eastAsia="Calibri" w:hAnsi="Calibri"/>
                <w:sz w:val="36"/>
                <w:szCs w:val="36"/>
                <w:vertAlign w:val="subscript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sz w:val="22"/>
                <w:szCs w:val="22"/>
                <w:rtl w:val="0"/>
              </w:rPr>
              <w:t xml:space="preserve">Dopravné spojenie pre prípad nárazového dopytu prepravy alebo pre prípad potreby prepravy väčšej skupiny cestujúcich, ak existuje predpoklad, že riadny Spoj nebude kapacitne postačovať.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Pôvodné vozidlá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pStyle w:val="Heading2"/>
              <w:ind w:left="0" w:firstLine="0"/>
              <w:rPr>
                <w:vertAlign w:val="subscript"/>
              </w:rPr>
            </w:pPr>
            <w:r w:rsidDel="00000000" w:rsidR="00000000" w:rsidRPr="00000000">
              <w:rPr>
                <w:rFonts w:ascii="Calibri" w:cs="Calibri" w:eastAsia="Calibri" w:hAnsi="Calibri"/>
                <w:sz w:val="36"/>
                <w:szCs w:val="36"/>
                <w:vertAlign w:val="subscript"/>
                <w:rtl w:val="0"/>
              </w:rPr>
              <w:t xml:space="preserve">Vozidlá ktorých mesiac prvej registrácie je 4 a viac mesiacov pred mesiacom začatia poskytovania služieb vo verejnom záujme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3A">
            <w:pPr>
              <w:spacing w:line="3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</w:t>
            </w:r>
          </w:p>
        </w:tc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3B">
            <w:pPr>
              <w:pStyle w:val="Heading2"/>
              <w:ind w:left="34" w:hanging="34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Spoj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pStyle w:val="Heading2"/>
              <w:ind w:left="34" w:hanging="34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Jednotlivé dopravné spojenie v rámci Autobusovej linky určené Cestovným poriadkom za podmienok podľa Zmluvy.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Súťažné podklady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pStyle w:val="Heading2"/>
              <w:ind w:left="34" w:hanging="34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Súťažné podklady v Procese verejného obstarávania v znení prípadných vysvetlení, žiadosti o nápravu a iných zmien zavedených v Procese verejného obstarávania.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Spoločenská zmluva o založení Organizátora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Spoločenská zmluva o založení obchodnej spoločnosti:  Integrovaná doprava Žilinského kraja, s.r.o. so sídlom Pri Rajčianke 2900/43, 010 01 Žilina, IČO: 51 110 369, ktorá bola uzavretá medzi zakladateľmi -  Žilinským samosprávnym krajom a Mestom Žilina za účelom vybudovania a prevádzky integrovaného dopravného systému na území Žilinského kraja a priľahlých záujmových regiónov. </w:t>
            </w:r>
          </w:p>
        </w:tc>
      </w:tr>
      <w:tr>
        <w:trPr>
          <w:cantSplit w:val="0"/>
          <w:tblHeader w:val="0"/>
        </w:trPr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42">
            <w:pPr>
              <w:spacing w:line="3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Š </w:t>
            </w:r>
          </w:p>
        </w:tc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43">
            <w:pPr>
              <w:pStyle w:val="Heading2"/>
              <w:ind w:left="34" w:hanging="34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Štvrťrok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pStyle w:val="Heading2"/>
              <w:ind w:left="34" w:hanging="34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Rozumie sa kalendárny štvrťrok. </w:t>
            </w:r>
          </w:p>
        </w:tc>
      </w:tr>
      <w:tr>
        <w:trPr>
          <w:cantSplit w:val="0"/>
          <w:tblHeader w:val="0"/>
        </w:trPr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46">
            <w:pPr>
              <w:spacing w:line="3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</w:t>
            </w:r>
          </w:p>
        </w:tc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47">
            <w:pPr>
              <w:pStyle w:val="Heading2"/>
              <w:ind w:left="34" w:hanging="34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Tarifa IDS ŽSK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spacing w:after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Tarifou IDS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ŽSK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sa rozumie (predpis) obsiahnutý v dokumente s názvom Záväzné  </w:t>
              <w:tab/>
              <w:t xml:space="preserve">podmienky prepravného poriadku IDS ŽSK, ktorým sú upravené sadzby cestovného    </w:t>
              <w:tab/>
              <w:t xml:space="preserve">v pravidelnej osobnej doprave a podmienky prípadných zliav na cestovnom, ktorý tvorí  Prílohu č. 3  Zmluvy medzi Dopravcom a Integrátorom. </w:t>
            </w:r>
          </w:p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B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Tržby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pStyle w:val="Heading2"/>
              <w:ind w:left="34" w:hanging="34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Výnos Dopravcu za predané cestovné lístky a ďalšie tržby podľa aktuálne platnej Tarify Dopravcu.</w:t>
            </w:r>
          </w:p>
        </w:tc>
      </w:tr>
      <w:tr>
        <w:trPr>
          <w:cantSplit w:val="0"/>
          <w:tblHeader w:val="0"/>
        </w:trPr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4D">
            <w:pPr>
              <w:spacing w:line="3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V</w:t>
            </w:r>
          </w:p>
        </w:tc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4E">
            <w:pPr>
              <w:pStyle w:val="Heading2"/>
              <w:ind w:left="34" w:hanging="34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pStyle w:val="Heading2"/>
              <w:spacing w:after="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  <w:u w:val="singl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Východiskový počet Základných a Záložných  Vozidiel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pStyle w:val="Heading2"/>
              <w:spacing w:after="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Údaj z Ponuky Dopravcu predloženej v Procese verejného obstarávania, ktorá tvorí Prílohu č. 2 Zmluvy. 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Verejné obstarávanie/Proces verejného obstarávania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proces obstarania Služby podľa zákona č. 343/2015 Z .z. o verejnom obstarávaní a o zmene a doplnení niektorých zákonov v znení neskorších predpisov, na základe ktorého bol Dopravca vybraný ako víťazný uchádzač.</w:t>
            </w:r>
          </w:p>
        </w:tc>
      </w:tr>
      <w:tr>
        <w:trPr>
          <w:cantSplit w:val="0"/>
          <w:tblHeader w:val="0"/>
        </w:trPr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55">
            <w:pPr>
              <w:spacing w:line="32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</w:t>
            </w:r>
          </w:p>
        </w:tc>
        <w:tc>
          <w:tcPr>
            <w:shd w:fill="ffc000" w:val="clear"/>
            <w:vAlign w:val="center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line="320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Základné a Záložné vozidlá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pStyle w:val="Heading2"/>
              <w:ind w:left="0" w:firstLine="0"/>
              <w:rPr>
                <w:rFonts w:ascii="Calibri" w:cs="Calibri" w:eastAsia="Calibri" w:hAnsi="Calibri"/>
                <w:sz w:val="36"/>
                <w:szCs w:val="36"/>
                <w:vertAlign w:val="subscript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Calibri" w:cs="Calibri" w:eastAsia="Calibri" w:hAnsi="Calibri"/>
                <w:sz w:val="36"/>
                <w:szCs w:val="36"/>
                <w:vertAlign w:val="subscript"/>
                <w:rtl w:val="0"/>
              </w:rPr>
              <w:t xml:space="preserve">Všetky vozidlá, ktoré Dopravca používa na poskytovanie Služby podľa Zmluvy.</w:t>
            </w:r>
          </w:p>
        </w:tc>
      </w:tr>
    </w:tbl>
    <w:p w:rsidR="00000000" w:rsidDel="00000000" w:rsidP="00000000" w:rsidRDefault="00000000" w:rsidRPr="00000000" w14:paraId="00000059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4" w:w="11909" w:orient="portrait"/>
      <w:pgMar w:bottom="1411" w:top="1411" w:left="1411" w:right="1590" w:header="432" w:footer="43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8640"/>
      </w:tabs>
      <w:rPr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8640"/>
      </w:tabs>
      <w:rPr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pBdr>
        <w:top w:color="000000" w:space="1" w:sz="6" w:val="dotted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8640"/>
      </w:tabs>
      <w:jc w:val="center"/>
      <w:rPr>
        <w:rFonts w:ascii="Quattrocento Sans" w:cs="Quattrocento Sans" w:eastAsia="Quattrocento Sans" w:hAnsi="Quattrocento Sans"/>
        <w:color w:val="000000"/>
        <w:sz w:val="16"/>
        <w:szCs w:val="16"/>
      </w:rPr>
    </w:pPr>
    <w:r w:rsidDel="00000000" w:rsidR="00000000" w:rsidRPr="00000000">
      <w:rPr>
        <w:rFonts w:ascii="Quattrocento Sans" w:cs="Quattrocento Sans" w:eastAsia="Quattrocento Sans" w:hAnsi="Quattrocento Sans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Quattrocento Sans" w:cs="Quattrocento Sans" w:eastAsia="Quattrocento Sans" w:hAnsi="Quattrocento Sans"/>
        <w:color w:val="000000"/>
        <w:sz w:val="16"/>
        <w:szCs w:val="16"/>
        <w:rtl w:val="0"/>
      </w:rPr>
      <w:t xml:space="preserve">/</w:t>
    </w:r>
    <w:r w:rsidDel="00000000" w:rsidR="00000000" w:rsidRPr="00000000">
      <w:rPr>
        <w:rFonts w:ascii="Quattrocento Sans" w:cs="Quattrocento Sans" w:eastAsia="Quattrocento Sans" w:hAnsi="Quattrocento Sans"/>
        <w:color w:val="000000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lineRule="auto"/>
      <w:jc w:val="right"/>
      <w:rPr>
        <w:rFonts w:ascii="Calibri" w:cs="Calibri" w:eastAsia="Calibri" w:hAnsi="Calibri"/>
        <w:b w:val="1"/>
        <w:color w:val="000000"/>
      </w:rPr>
    </w:pPr>
    <w:r w:rsidDel="00000000" w:rsidR="00000000" w:rsidRPr="00000000">
      <w:rPr>
        <w:rFonts w:ascii="Calibri" w:cs="Calibri" w:eastAsia="Calibri" w:hAnsi="Calibri"/>
        <w:b w:val="1"/>
        <w:color w:val="000000"/>
        <w:rtl w:val="0"/>
      </w:rPr>
      <w:t xml:space="preserve">Príloha č.  1 -  Definície</w:t>
    </w:r>
  </w:p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k-SK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after="120" w:lineRule="auto"/>
      <w:ind w:left="1418" w:hanging="708"/>
    </w:pPr>
    <w:rPr/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ny" w:default="1">
    <w:name w:val="Normal"/>
    <w:qFormat w:val="1"/>
  </w:style>
  <w:style w:type="paragraph" w:styleId="Nadpis1">
    <w:name w:val="heading 1"/>
    <w:basedOn w:val="Normlny"/>
    <w:next w:val="Norm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dpis2">
    <w:name w:val="heading 2"/>
    <w:basedOn w:val="Normlny"/>
    <w:next w:val="Normlny"/>
    <w:uiPriority w:val="9"/>
    <w:unhideWhenUsed w:val="1"/>
    <w:qFormat w:val="1"/>
    <w:pPr>
      <w:spacing w:after="120"/>
      <w:ind w:left="1418" w:hanging="708"/>
      <w:outlineLvl w:val="1"/>
    </w:pPr>
  </w:style>
  <w:style w:type="paragraph" w:styleId="Nadpis3">
    <w:name w:val="heading 3"/>
    <w:basedOn w:val="Normlny"/>
    <w:next w:val="Norm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dpis4">
    <w:name w:val="heading 4"/>
    <w:basedOn w:val="Normlny"/>
    <w:next w:val="Norm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Nadpis5">
    <w:name w:val="heading 5"/>
    <w:basedOn w:val="Normlny"/>
    <w:next w:val="Norm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dpis6">
    <w:name w:val="heading 6"/>
    <w:basedOn w:val="Normlny"/>
    <w:next w:val="Norm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Predvolenpsmoodseku" w:default="1">
    <w:name w:val="Default Paragraph Font"/>
    <w:uiPriority w:val="1"/>
    <w:semiHidden w:val="1"/>
    <w:unhideWhenUsed w:val="1"/>
  </w:style>
  <w:style w:type="table" w:styleId="Normlnatabu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ov">
    <w:name w:val="Title"/>
    <w:basedOn w:val="Normlny"/>
    <w:next w:val="Norm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itul">
    <w:name w:val="Subtitle"/>
    <w:basedOn w:val="Normlny"/>
    <w:next w:val="Norm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GdpjI8AOChAdwfzPdJdUcmFAqQ==">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2021-08-20T16:08:00Z</dcterms:created>
  <dc:creator>Martina Pašková</dc:creator>
</cp:coreProperties>
</file>